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Chris Coons, is a member of the Senate Judiciary’s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Subcommittee on Immigration, Citizenship, and Border Safety</w:t>
        </w:r>
      </w:hyperlink>
      <w:r w:rsidRPr="008A72D5">
        <w:rPr>
          <w:rFonts w:ascii="Times New Roman" w:hAnsi="Times New Roman"/>
          <w:sz w:val="24"/>
          <w:szCs w:val="24"/>
        </w:rPr>
        <w:t xml:space="preserve">. This is the committee and subcommittee of jurisdiction for the H-2B program.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>Therefore, Senator Coons’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His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 </w:t>
      </w:r>
      <w:proofErr w:type="spellStart"/>
      <w:r w:rsidRPr="008A72D5">
        <w:rPr>
          <w:rFonts w:ascii="Times New Roman" w:hAnsi="Times New Roman"/>
          <w:sz w:val="24"/>
          <w:szCs w:val="24"/>
        </w:rPr>
        <w:t>Saurabh</w:t>
      </w:r>
      <w:proofErr w:type="spellEnd"/>
      <w:r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2D5">
        <w:rPr>
          <w:rFonts w:ascii="Times New Roman" w:hAnsi="Times New Roman"/>
          <w:sz w:val="24"/>
          <w:szCs w:val="24"/>
        </w:rPr>
        <w:t>Sanghvi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>,</w:t>
      </w:r>
      <w:r w:rsidRPr="008A72D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A72D5" w:rsidRPr="00B02F65">
          <w:rPr>
            <w:rStyle w:val="Hyperlink"/>
            <w:rFonts w:ascii="Times New Roman" w:hAnsi="Times New Roman"/>
            <w:b/>
            <w:sz w:val="24"/>
            <w:szCs w:val="24"/>
          </w:rPr>
          <w:t>saurabh_sanghvi@coons.senate.gov</w:t>
        </w:r>
      </w:hyperlink>
      <w:r w:rsidR="008A72D5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>
        <w:rPr>
          <w:rFonts w:ascii="Times New Roman" w:hAnsi="Times New Roman"/>
          <w:sz w:val="24"/>
          <w:szCs w:val="24"/>
        </w:rPr>
        <w:t>Saurabh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8A72D5">
        <w:rPr>
          <w:rFonts w:ascii="Times New Roman" w:hAnsi="Times New Roman"/>
          <w:sz w:val="24"/>
          <w:szCs w:val="24"/>
        </w:rPr>
        <w:t>Delaware</w:t>
      </w:r>
      <w:r>
        <w:rPr>
          <w:rFonts w:ascii="Times New Roman" w:hAnsi="Times New Roman"/>
          <w:sz w:val="24"/>
          <w:szCs w:val="24"/>
        </w:rPr>
        <w:t xml:space="preserve"> 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6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8A72D5">
        <w:rPr>
          <w:rFonts w:ascii="Times New Roman" w:hAnsi="Times New Roman"/>
          <w:sz w:val="24"/>
          <w:szCs w:val="24"/>
        </w:rPr>
        <w:t>Coons</w:t>
      </w:r>
      <w:r>
        <w:rPr>
          <w:rFonts w:ascii="Times New Roman" w:hAnsi="Times New Roman"/>
          <w:sz w:val="24"/>
          <w:szCs w:val="24"/>
        </w:rPr>
        <w:t xml:space="preserve"> 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reading my urgent plea. I look forward to your respons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D1229"/>
    <w:rsid w:val="00442AB2"/>
    <w:rsid w:val="004E07C8"/>
    <w:rsid w:val="00573F8A"/>
    <w:rsid w:val="008252B7"/>
    <w:rsid w:val="008A674A"/>
    <w:rsid w:val="008A72D5"/>
    <w:rsid w:val="00906A5B"/>
    <w:rsid w:val="00A55276"/>
    <w:rsid w:val="00C13F6F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track.us/congress/bills/117/s2443" TargetMode="External"/><Relationship Id="rId5" Type="http://schemas.openxmlformats.org/officeDocument/2006/relationships/hyperlink" Target="mailto:saurabh_sanghvi@coons.senate.gov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2021-09-13T19:27:00Z</dcterms:created>
  <dcterms:modified xsi:type="dcterms:W3CDTF">2021-09-13T19:27:00Z</dcterms:modified>
</cp:coreProperties>
</file>